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15B8" w14:textId="4B4D87E9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</w:t>
      </w:r>
      <w:r w:rsidR="0080763E">
        <w:rPr>
          <w:rFonts w:ascii="Arial" w:eastAsia="宋体" w:hAnsi="Arial" w:cs="Arial"/>
          <w:b/>
          <w:noProof/>
          <w:kern w:val="0"/>
          <w:sz w:val="24"/>
          <w:szCs w:val="20"/>
        </w:rPr>
        <w:t>2</w:t>
      </w:r>
      <w:r w:rsidR="00BF0D08">
        <w:rPr>
          <w:rFonts w:ascii="Arial" w:eastAsia="宋体" w:hAnsi="Arial" w:cs="Arial"/>
          <w:b/>
          <w:noProof/>
          <w:kern w:val="0"/>
          <w:sz w:val="24"/>
          <w:szCs w:val="20"/>
        </w:rPr>
        <w:t>2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7C7FDE" w:rsidRPr="007C7FDE">
        <w:rPr>
          <w:rFonts w:ascii="Arial" w:eastAsia="宋体" w:hAnsi="Arial" w:cs="Arial"/>
          <w:b/>
          <w:noProof/>
          <w:kern w:val="0"/>
          <w:sz w:val="24"/>
          <w:szCs w:val="20"/>
        </w:rPr>
        <w:t>R2-</w:t>
      </w:r>
      <w:r w:rsidR="00BE3ECD" w:rsidRPr="00BE3ECD">
        <w:t xml:space="preserve"> </w:t>
      </w:r>
      <w:r w:rsidR="00136C10" w:rsidRPr="00136C10">
        <w:rPr>
          <w:rFonts w:ascii="Arial" w:eastAsia="宋体" w:hAnsi="Arial" w:cs="Arial"/>
          <w:b/>
          <w:noProof/>
          <w:kern w:val="0"/>
          <w:sz w:val="24"/>
          <w:szCs w:val="20"/>
        </w:rPr>
        <w:t>2305701</w:t>
      </w:r>
    </w:p>
    <w:p w14:paraId="4BF14776" w14:textId="62CB6302" w:rsidR="00AA3FAE" w:rsidRPr="005B2E70" w:rsidRDefault="00BF0D08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Incheon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>,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South Korea,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22</w:t>
      </w:r>
      <w:r w:rsidR="00FB2DC5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1229AC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="00FB2DC5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FB2DC5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0A8C0162" w14:textId="021A2513" w:rsid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166E1C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7</w:t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5039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12</w:t>
      </w:r>
      <w:r w:rsidR="00175A0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</w:t>
      </w:r>
      <w:r w:rsidR="007E0AA7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2</w:t>
      </w:r>
      <w:r w:rsidR="00166E1C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.1</w:t>
      </w:r>
    </w:p>
    <w:p w14:paraId="3A7B9F35" w14:textId="565143AE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</w:t>
      </w:r>
    </w:p>
    <w:p w14:paraId="396CAC10" w14:textId="335C6CD7" w:rsidR="006F3844" w:rsidRPr="006F3844" w:rsidRDefault="006F3844" w:rsidP="006F3844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Mobility enhancements for mobile IAB-node and its </w:t>
      </w:r>
      <w:r w:rsidR="00D248E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connected</w:t>
      </w:r>
      <w:r w:rsidR="00253AF0" w:rsidRPr="00253AF0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 UE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B56E0A4" w14:textId="77777777" w:rsidR="00A61DF4" w:rsidRDefault="00A61DF4" w:rsidP="00A61DF4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A61DF4" w14:paraId="059CB986" w14:textId="77777777" w:rsidTr="00F32368">
        <w:trPr>
          <w:trHeight w:val="1266"/>
        </w:trPr>
        <w:tc>
          <w:tcPr>
            <w:tcW w:w="9670" w:type="dxa"/>
          </w:tcPr>
          <w:p w14:paraId="73BCEB24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3195C568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59C2EE09" w14:textId="77777777" w:rsidR="00712DD9" w:rsidRPr="00712DD9" w:rsidRDefault="00712DD9" w:rsidP="00712DD9">
            <w:pPr>
              <w:pStyle w:val="maintext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>The mobility of dual-connected IAB-nodes is down-prioritized.</w:t>
            </w:r>
          </w:p>
          <w:p w14:paraId="2632C582" w14:textId="77777777" w:rsidR="00712DD9" w:rsidRPr="00712DD9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712DD9">
              <w:rPr>
                <w:rFonts w:eastAsia="Times New Roman" w:cs="Times New Roman"/>
                <w:lang w:eastAsia="en-US"/>
              </w:rPr>
              <w:t xml:space="preserve">Enhancements for mobility of an IAB-node together with </w:t>
            </w:r>
            <w:proofErr w:type="gramStart"/>
            <w:r w:rsidRPr="00712DD9">
              <w:rPr>
                <w:rFonts w:eastAsia="Times New Roman" w:cs="Times New Roman"/>
                <w:lang w:eastAsia="en-US"/>
              </w:rPr>
              <w:t>its</w:t>
            </w:r>
            <w:proofErr w:type="gramEnd"/>
            <w:r w:rsidRPr="00712DD9">
              <w:rPr>
                <w:rFonts w:eastAsia="Times New Roman" w:cs="Times New Roman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04CFD7D5" w14:textId="77777777" w:rsidR="00712DD9" w:rsidRPr="00712DD9" w:rsidRDefault="00712DD9" w:rsidP="00712DD9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lang w:eastAsia="en-US"/>
              </w:rPr>
            </w:pPr>
            <w:r w:rsidRPr="00712DD9">
              <w:rPr>
                <w:rFonts w:eastAsia="Times New Roman" w:cs="Times New Roman"/>
                <w:i/>
                <w:iCs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6263D6" w14:textId="3497C46C" w:rsidR="00A61DF4" w:rsidRPr="00732338" w:rsidRDefault="00712DD9" w:rsidP="00712DD9">
            <w:pPr>
              <w:pStyle w:val="maintext"/>
              <w:numPr>
                <w:ilvl w:val="0"/>
                <w:numId w:val="16"/>
              </w:numPr>
              <w:spacing w:line="240" w:lineRule="auto"/>
              <w:ind w:firstLineChars="0"/>
              <w:rPr>
                <w:lang w:eastAsia="en-GB"/>
              </w:rPr>
            </w:pPr>
            <w:r w:rsidRPr="00712DD9">
              <w:rPr>
                <w:rFonts w:eastAsia="Times New Roman" w:cs="Times New Roman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712DD9">
              <w:rPr>
                <w:rFonts w:eastAsia="Times New Roman" w:cs="Times New Roman"/>
                <w:lang w:eastAsia="en-US"/>
              </w:rPr>
              <w:t>e.g.</w:t>
            </w:r>
            <w:proofErr w:type="gramEnd"/>
            <w:r w:rsidRPr="00712DD9">
              <w:rPr>
                <w:rFonts w:eastAsia="Times New Roman" w:cs="Times New Roman"/>
                <w:lang w:eastAsia="en-US"/>
              </w:rPr>
              <w:t xml:space="preserve"> PCI, RACH). [RAN3, RAN2]</w:t>
            </w:r>
          </w:p>
        </w:tc>
      </w:tr>
    </w:tbl>
    <w:p w14:paraId="0B940363" w14:textId="651D4CAD" w:rsidR="00A61DF4" w:rsidRDefault="00A61DF4" w:rsidP="00A61DF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mobility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enhancement</w:t>
      </w:r>
      <w:r w:rsidR="006F330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mobile IAB-node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its connected UEs </w:t>
      </w:r>
      <w:r w:rsidR="004E4425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discussed, including </w:t>
      </w:r>
      <w:r w:rsidRP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aspects related to 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>CHO, RACH-less HO</w:t>
      </w:r>
      <w:r w:rsidR="00857106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3752E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some other aspects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00ECAC" w14:textId="40BE3FD6" w:rsidR="00D02D3B" w:rsidRPr="0066723C" w:rsidRDefault="00D02D3B" w:rsidP="00D02D3B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Conditional handover for served UEs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657ABB" w14:paraId="326D3BFD" w14:textId="77777777" w:rsidTr="00657ABB">
        <w:trPr>
          <w:trHeight w:val="2615"/>
        </w:trPr>
        <w:tc>
          <w:tcPr>
            <w:tcW w:w="9650" w:type="dxa"/>
          </w:tcPr>
          <w:p w14:paraId="14B6EE30" w14:textId="1A05199D" w:rsidR="00657ABB" w:rsidRPr="00657ABB" w:rsidRDefault="00657ABB" w:rsidP="00657ABB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RAN2 119bis-e:</w:t>
            </w:r>
          </w:p>
          <w:p w14:paraId="5B30401D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1) message withholding by the logical source IAB-DU with conditional delivery, e.g., upon on MT migration, </w:t>
            </w:r>
          </w:p>
          <w:p w14:paraId="65187EA9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>2) conditional execution by the UE based on, e.g., a broadcast indication such as SIB indication of service time or DCI indication of MT-migration,</w:t>
            </w:r>
            <w:r>
              <w:rPr>
                <w:i/>
                <w:iCs/>
                <w:lang w:val="en-US"/>
              </w:rPr>
              <w:t xml:space="preserve"> (includes CHO with new trigger). </w:t>
            </w:r>
          </w:p>
          <w:p w14:paraId="77C00956" w14:textId="77777777" w:rsidR="00657ABB" w:rsidRPr="004B24FB" w:rsidRDefault="00657ABB" w:rsidP="00657ABB">
            <w:pPr>
              <w:pStyle w:val="Doc-text2"/>
              <w:rPr>
                <w:i/>
                <w:iCs/>
                <w:lang w:val="en-US"/>
              </w:rPr>
            </w:pPr>
            <w:r w:rsidRPr="004B24FB">
              <w:rPr>
                <w:i/>
                <w:iCs/>
                <w:lang w:val="en-US"/>
              </w:rPr>
              <w:t xml:space="preserve">3) legacy CHO (with implementation specific behaviour, </w:t>
            </w:r>
            <w:proofErr w:type="gramStart"/>
            <w:r w:rsidRPr="004B24FB">
              <w:rPr>
                <w:i/>
                <w:iCs/>
                <w:lang w:val="en-US"/>
              </w:rPr>
              <w:t>e.g.</w:t>
            </w:r>
            <w:proofErr w:type="gramEnd"/>
            <w:r w:rsidRPr="004B24FB">
              <w:rPr>
                <w:i/>
                <w:iCs/>
                <w:lang w:val="en-US"/>
              </w:rPr>
              <w:t xml:space="preserve"> using source-cell power down or target cell power up triggering the actual HO)</w:t>
            </w:r>
          </w:p>
          <w:p w14:paraId="2DCD2766" w14:textId="57CA9CC9" w:rsidR="00657ABB" w:rsidRPr="00657ABB" w:rsidRDefault="00657ABB" w:rsidP="00657ABB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RAN2 assumes that O1 and O3 above could work, and FFS if O2 above (new trigger etc) is needed. </w:t>
            </w:r>
          </w:p>
        </w:tc>
      </w:tr>
    </w:tbl>
    <w:p w14:paraId="23F20B99" w14:textId="146BF96F" w:rsidR="007650AE" w:rsidRDefault="00657ABB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1,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are firstly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sent to source IAB-DU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mobile IAB-node, and the source IAB-DU withholds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s until some specific conditions are met and 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delivers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317D40" w:rsidRPr="00317D40">
        <w:rPr>
          <w:rFonts w:ascii="Times New Roman" w:eastAsia="宋体" w:hAnsi="Times New Roman" w:cs="Times New Roman"/>
          <w:kern w:val="0"/>
          <w:sz w:val="20"/>
          <w:szCs w:val="20"/>
        </w:rPr>
        <w:t>RRC Reconfiguration message</w:t>
      </w:r>
      <w:r w:rsidR="00317D40">
        <w:rPr>
          <w:rFonts w:ascii="Times New Roman" w:eastAsia="宋体" w:hAnsi="Times New Roman" w:cs="Times New Roman"/>
          <w:kern w:val="0"/>
          <w:sz w:val="20"/>
          <w:szCs w:val="20"/>
        </w:rPr>
        <w:t>s to each connected UEs.</w:t>
      </w:r>
      <w:r w:rsidR="00875D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>Because s</w:t>
      </w:r>
      <w:r w:rsidR="00BE1FB3">
        <w:rPr>
          <w:rFonts w:ascii="Times New Roman" w:eastAsia="宋体" w:hAnsi="Times New Roman" w:cs="Times New Roman"/>
          <w:kern w:val="0"/>
          <w:sz w:val="20"/>
          <w:szCs w:val="20"/>
        </w:rPr>
        <w:t>imilar delay RRC configuration procedure has been defined in RAN3 during R17</w:t>
      </w:r>
      <w:r w:rsid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="00220099" w:rsidRPr="00220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reconfiguration of descendent nodes during intra-donor migration</w:t>
      </w:r>
      <w:r w:rsidR="00C4470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the Option 1 has no impacts on legacy UEs. However, for the deliver condition, 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>MT migration may not feasible as defined in RAN3 that IAB-MT handover and IAB-DU migration is</w:t>
      </w:r>
      <w:r w:rsidR="000E6C5A" w:rsidRP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executed independently</w:t>
      </w:r>
      <w:r w:rsidR="000E6C5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58E05EE9" w14:textId="461A1CF1" w:rsidR="00D02D3B" w:rsidRDefault="007650AE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 2, because it’s not supported by the legacy UEs, then this option can be deprioritized.</w:t>
      </w:r>
    </w:p>
    <w:p w14:paraId="40EB6223" w14:textId="3E455B7A" w:rsidR="005A09F0" w:rsidRDefault="007650AE" w:rsidP="005A09F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Option 3, </w:t>
      </w:r>
      <w:r w:rsidR="002750D3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CHO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configuration can be fully reused for UEs, and source IAB-DU can power down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by implementation to trigger the served UEs perform CHO to target IAB-DU, which has fewest standards impacts among 3 options. While for power up </w:t>
      </w:r>
      <w:r w:rsidR="00F02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cells </w:t>
      </w:r>
      <w:r w:rsidR="005A09F0">
        <w:rPr>
          <w:rFonts w:ascii="Times New Roman" w:eastAsia="宋体" w:hAnsi="Times New Roman" w:cs="Times New Roman"/>
          <w:kern w:val="0"/>
          <w:sz w:val="20"/>
          <w:szCs w:val="20"/>
        </w:rPr>
        <w:t>of target IAB-DU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it’s not recommended 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that it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cause</w:t>
      </w:r>
      <w:r w:rsidR="00BD1442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9113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additional unnecessary HO/CHO on other UEs.</w:t>
      </w:r>
    </w:p>
    <w:p w14:paraId="33296235" w14:textId="4B48BF8D" w:rsidR="00D24D72" w:rsidRPr="003B0384" w:rsidRDefault="003B0384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Legacy CHO procedure can be reused by the served UEs of mobile IAB-node, and source IAB-DU </w:t>
      </w:r>
      <w:r w:rsidR="00552A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powers down the cells by implementation to trigger the CHO</w:t>
      </w:r>
      <w:r w:rsidR="00FB7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E6A1D75" w14:textId="5BB23EA6" w:rsidR="00D24D72" w:rsidRPr="00E05A10" w:rsidRDefault="00E05A10" w:rsidP="00E05A10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05A10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R</w:t>
      </w:r>
      <w:r w:rsidRPr="00E05A10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ACH-less HO for served UEs</w:t>
      </w:r>
    </w:p>
    <w:tbl>
      <w:tblPr>
        <w:tblW w:w="965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0"/>
      </w:tblGrid>
      <w:tr w:rsidR="000001DA" w14:paraId="18305D97" w14:textId="77777777" w:rsidTr="000C6E45">
        <w:trPr>
          <w:trHeight w:val="4180"/>
        </w:trPr>
        <w:tc>
          <w:tcPr>
            <w:tcW w:w="9650" w:type="dxa"/>
          </w:tcPr>
          <w:p w14:paraId="79AFCAC3" w14:textId="3A2AA950" w:rsidR="000001DA" w:rsidRPr="00657ABB" w:rsidRDefault="000001DA" w:rsidP="00343921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RAN2 121bis-e:</w:t>
            </w:r>
          </w:p>
          <w:p w14:paraId="11D2FBB4" w14:textId="77777777" w:rsidR="000C6E45" w:rsidRDefault="000C6E45" w:rsidP="000C6E45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RACH-less for mIAB scenario, if agreed in the end, will cover only the case of same-TA. </w:t>
            </w:r>
          </w:p>
          <w:p w14:paraId="660EF078" w14:textId="77777777" w:rsidR="000C6E45" w:rsidRDefault="000C6E45" w:rsidP="000C6E45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Feasibility of beam handling during RACH-less HO in the mIAB WI is FFS (and this need to be addressed for RACH-less to be supported for mIAB). </w:t>
            </w:r>
          </w:p>
          <w:p w14:paraId="662C21C1" w14:textId="77777777" w:rsidR="000C6E45" w:rsidRDefault="000C6E45" w:rsidP="000C6E45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>RAN2 discuss further the following options to support beam operation for the first UL transmission/DL reception towards the target logical DU in RACH-less HO during DU migration:</w:t>
            </w:r>
          </w:p>
          <w:p w14:paraId="4617D41C" w14:textId="77777777" w:rsidR="000C6E45" w:rsidRDefault="000C6E45" w:rsidP="000C6E45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 xml:space="preserve">Option 1: (Explicit approach) Explicit beam information is included in HO command. FFS the details. </w:t>
            </w:r>
          </w:p>
          <w:p w14:paraId="1B311EB3" w14:textId="77777777" w:rsidR="000C6E45" w:rsidRDefault="000C6E45" w:rsidP="000C6E45">
            <w:pPr>
              <w:pStyle w:val="Agreement"/>
              <w:tabs>
                <w:tab w:val="clear" w:pos="-896"/>
                <w:tab w:val="num" w:pos="1619"/>
              </w:tabs>
              <w:ind w:left="1619"/>
            </w:pPr>
            <w:r>
              <w:t>Option 2: (Implicit approach) UE re-uses the same beam status as in the source cell (the beam information is not carried explicitly in HO command).</w:t>
            </w:r>
          </w:p>
          <w:p w14:paraId="7084229A" w14:textId="38D8AEEA" w:rsidR="000001DA" w:rsidRPr="00657ABB" w:rsidRDefault="000C6E45" w:rsidP="000C6E45">
            <w:pPr>
              <w:pStyle w:val="Agreement"/>
              <w:tabs>
                <w:tab w:val="num" w:pos="1619"/>
              </w:tabs>
              <w:ind w:left="1619"/>
            </w:pPr>
            <w:r>
              <w:t>RACH-less HO with same TA with security key change is in scope for served UEs during mIAB DU migration. FFS UL grant and HO completion procedure in mIAB RACH-less HO.</w:t>
            </w:r>
          </w:p>
        </w:tc>
      </w:tr>
    </w:tbl>
    <w:p w14:paraId="1A9375DD" w14:textId="36FBB526" w:rsidR="00E07099" w:rsidRDefault="00AA1479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1479">
        <w:rPr>
          <w:rFonts w:ascii="Times New Roman" w:eastAsia="宋体" w:hAnsi="Times New Roman" w:cs="Times New Roman"/>
          <w:kern w:val="0"/>
          <w:sz w:val="20"/>
          <w:szCs w:val="20"/>
        </w:rPr>
        <w:t>As for the served UEs of mobile IAB-node, since source logical IAB-DU and target logical IAB-DU are co-located physically and the serving mobile IAB-node doesn’t change for UE during the whole IAB-DU migration procedure,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least the </w:t>
      </w:r>
      <w:r w:rsidR="000E1F7B">
        <w:rPr>
          <w:rFonts w:ascii="Times New Roman" w:eastAsia="宋体" w:hAnsi="Times New Roman" w:cs="Times New Roman"/>
          <w:kern w:val="0"/>
          <w:sz w:val="20"/>
          <w:szCs w:val="20"/>
        </w:rPr>
        <w:t xml:space="preserve">same TA </w:t>
      </w:r>
      <w:r w:rsidR="00B608CE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applied before and after mobile IAB-MT handover. </w:t>
      </w:r>
      <w:r w:rsidR="00B019CD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general, RACH-less HO can be considered for UEs of mobile IAB and </w:t>
      </w:r>
      <w:r w:rsidR="00B019CD" w:rsidRPr="00B019CD">
        <w:rPr>
          <w:rFonts w:ascii="Times New Roman" w:eastAsia="宋体" w:hAnsi="Times New Roman" w:cs="Times New Roman"/>
          <w:kern w:val="0"/>
          <w:sz w:val="20"/>
          <w:szCs w:val="20"/>
        </w:rPr>
        <w:t xml:space="preserve">LTE RACH-less </w:t>
      </w:r>
      <w:r w:rsidR="00B019CD">
        <w:rPr>
          <w:rFonts w:ascii="Times New Roman" w:eastAsia="宋体" w:hAnsi="Times New Roman" w:cs="Times New Roman"/>
          <w:kern w:val="0"/>
          <w:sz w:val="20"/>
          <w:szCs w:val="20"/>
        </w:rPr>
        <w:t>HO</w:t>
      </w:r>
      <w:r w:rsidR="00B019CD" w:rsidRPr="00B019CD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3E4C5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regarded as a start point.</w:t>
      </w:r>
    </w:p>
    <w:p w14:paraId="0E0830F1" w14:textId="2F7F0AFC" w:rsidR="00BE544E" w:rsidRDefault="00BE3450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for the beam used in the target cell for initial UL/DL transmission, as baseline, an explicit beam information can be included in the HO command</w:t>
      </w:r>
      <w:r w:rsidR="00E0709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0F739D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considering physical location between UE and IAB-node doesn’t change, </w:t>
      </w:r>
      <w:r w:rsidR="007B19B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UE can </w:t>
      </w:r>
      <w:bookmarkStart w:id="2" w:name="OLE_LINK1"/>
      <w:r w:rsidR="007B19BC">
        <w:rPr>
          <w:rFonts w:ascii="Times New Roman" w:eastAsia="宋体" w:hAnsi="Times New Roman" w:cs="Times New Roman"/>
          <w:kern w:val="0"/>
          <w:sz w:val="20"/>
          <w:szCs w:val="20"/>
        </w:rPr>
        <w:t>reuse the same beam in the source cell</w:t>
      </w:r>
      <w:r w:rsidR="00E867B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bookmarkEnd w:id="2"/>
      <w:r w:rsidR="00E867B3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="00E867B3" w:rsidRPr="00BE3450">
        <w:rPr>
          <w:rFonts w:ascii="Times New Roman" w:eastAsia="宋体" w:hAnsi="Times New Roman" w:cs="Times New Roman"/>
          <w:kern w:val="0"/>
          <w:sz w:val="20"/>
          <w:szCs w:val="20"/>
        </w:rPr>
        <w:t>optimize the UE handover during DU migration</w:t>
      </w:r>
      <w:r w:rsidR="00E867B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in this case the explicit beam information in HO command </w:t>
      </w:r>
      <w:r w:rsidR="001D5DFE">
        <w:rPr>
          <w:rFonts w:ascii="Times New Roman" w:eastAsia="宋体" w:hAnsi="Times New Roman" w:cs="Times New Roman"/>
          <w:kern w:val="0"/>
          <w:sz w:val="20"/>
          <w:szCs w:val="20"/>
        </w:rPr>
        <w:t>is not necessary.</w:t>
      </w:r>
    </w:p>
    <w:p w14:paraId="37D52397" w14:textId="4CF3FE79" w:rsidR="001D5DFE" w:rsidRPr="001D5DFE" w:rsidRDefault="001D5DFE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D5D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RACH-less HO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during </w:t>
      </w:r>
      <w:r w:rsidR="0028087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 migration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an explicit beam information can be included in the HO command as baseline, or UE can reuse the same beam</w:t>
      </w:r>
      <w:r w:rsidR="00E56D8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the source cell.</w:t>
      </w:r>
    </w:p>
    <w:p w14:paraId="565EBCED" w14:textId="462A5E60" w:rsidR="00C567DC" w:rsidRDefault="009E7334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UL grant to send the </w:t>
      </w:r>
      <w:r w:rsidRPr="009E7334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RRCConnectionReconfigurationComplete</w:t>
      </w:r>
      <w:r w:rsidRPr="009E73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as in LTE RACH-less HO, it can be configured by preallocated uplink grant in the HO command or in the dynamic grant via monitoring the PDCCH of the target cell. In addition, as </w:t>
      </w:r>
      <w:r w:rsidR="00E82D5F">
        <w:rPr>
          <w:rFonts w:ascii="Times New Roman" w:eastAsia="宋体" w:hAnsi="Times New Roman" w:cs="Times New Roman"/>
          <w:kern w:val="0"/>
          <w:sz w:val="20"/>
          <w:szCs w:val="20"/>
        </w:rPr>
        <w:t>following agreements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R18 NTN, </w:t>
      </w:r>
      <w:r w:rsidR="00DD0D2A">
        <w:rPr>
          <w:rFonts w:ascii="Times New Roman" w:eastAsia="宋体" w:hAnsi="Times New Roman" w:cs="Times New Roman"/>
          <w:kern w:val="0"/>
          <w:sz w:val="20"/>
          <w:szCs w:val="20"/>
        </w:rPr>
        <w:t>both configured grant and dynamic grant are supported</w:t>
      </w:r>
      <w:r w:rsidR="00E344A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3A9E80DA" w14:textId="6443AFBF" w:rsidR="007E7264" w:rsidRPr="007E7264" w:rsidRDefault="007E7264" w:rsidP="007E72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AN2 121:</w:t>
      </w:r>
    </w:p>
    <w:p w14:paraId="039281FF" w14:textId="13BA0C01" w:rsidR="00BE544E" w:rsidRDefault="007E7264" w:rsidP="007E72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</w:pPr>
      <w:r w:rsidRPr="00B77740">
        <w:t>Support dynamic grant from the target cell for RACH-less PUSCH transmission to reduce random access congestion in the target cell. FFS whether to limit the solution to same feeder link/gateway scenario</w:t>
      </w:r>
    </w:p>
    <w:p w14:paraId="636B3F21" w14:textId="60370639" w:rsidR="007E7264" w:rsidRPr="007E7264" w:rsidRDefault="007E7264" w:rsidP="007E72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AN2 121bis-e:</w:t>
      </w:r>
    </w:p>
    <w:p w14:paraId="5F519241" w14:textId="5813757E" w:rsidR="007E7264" w:rsidRDefault="007E7264" w:rsidP="007E72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</w:pPr>
      <w:r w:rsidRPr="00FC57B0">
        <w:t>For initial UL transmission in RACH-less HO, support pre-allocated grant in RACH-less HO command</w:t>
      </w:r>
    </w:p>
    <w:p w14:paraId="7D8F3770" w14:textId="0BBCE679" w:rsidR="00DD0D2A" w:rsidRPr="00FC57B0" w:rsidRDefault="00DD0D2A" w:rsidP="007E72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</w:pPr>
      <w:r w:rsidRPr="00DD0D2A">
        <w:t>The pre-allocated grant is provided as type-1 CG</w:t>
      </w:r>
    </w:p>
    <w:p w14:paraId="555678EC" w14:textId="363AB822" w:rsidR="009E7334" w:rsidRPr="00E344A7" w:rsidRDefault="00E344A7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3" w:name="OLE_LINK9"/>
      <w:r w:rsidRPr="00E344A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1217A1"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="001217A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</w:t>
      </w:r>
      <w:r w:rsidR="001217A1"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RACH-less HO</w:t>
      </w:r>
      <w:r w:rsidR="001217A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during mIAB-DU migration, b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oth type-1 configured grant and dynamic grant are supported for </w:t>
      </w:r>
      <w:r w:rsidR="001217A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initial UL transmission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bookmarkEnd w:id="3"/>
    <w:p w14:paraId="29E36A66" w14:textId="62EAA697" w:rsidR="00856E29" w:rsidRDefault="00856E29" w:rsidP="00D02D3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</w:t>
      </w:r>
      <w:r w:rsidRPr="00856E29">
        <w:rPr>
          <w:rFonts w:ascii="Times New Roman" w:eastAsia="宋体" w:hAnsi="Times New Roman" w:cs="Times New Roman"/>
          <w:kern w:val="0"/>
          <w:sz w:val="20"/>
          <w:szCs w:val="20"/>
        </w:rPr>
        <w:t>HO completion procedure</w:t>
      </w:r>
      <w:r w:rsidR="00895F59">
        <w:rPr>
          <w:rFonts w:ascii="Times New Roman" w:eastAsia="宋体" w:hAnsi="Times New Roman" w:cs="Times New Roman"/>
          <w:kern w:val="0"/>
          <w:sz w:val="20"/>
          <w:szCs w:val="20"/>
        </w:rPr>
        <w:t>, which has been already discussed by R18 NTN</w:t>
      </w:r>
      <w:r w:rsidR="00515CE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895F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15CED">
        <w:rPr>
          <w:rFonts w:ascii="Times New Roman" w:eastAsia="宋体" w:hAnsi="Times New Roman" w:cs="Times New Roman"/>
          <w:kern w:val="0"/>
          <w:sz w:val="20"/>
          <w:szCs w:val="20"/>
        </w:rPr>
        <w:t xml:space="preserve">Since there is no specific difference for HO completion procedure in these two cases, it may no need to repeatedly discuss the issue in two WIDs. </w:t>
      </w:r>
    </w:p>
    <w:p w14:paraId="7098D6F0" w14:textId="1781D160" w:rsidR="00856E29" w:rsidRPr="00856E29" w:rsidRDefault="00856E29" w:rsidP="00856E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AN2 121bis-e:</w:t>
      </w:r>
    </w:p>
    <w:p w14:paraId="7C61239B" w14:textId="355A9F2A" w:rsidR="00856E29" w:rsidRDefault="00856E29" w:rsidP="00856E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firstLine="0"/>
        <w:rPr>
          <w:rFonts w:ascii="Times New Roman" w:eastAsia="宋体" w:hAnsi="Times New Roman"/>
          <w:szCs w:val="20"/>
        </w:rPr>
      </w:pPr>
      <w:r w:rsidRPr="00FC57B0">
        <w:t xml:space="preserve">consider RACH-less </w:t>
      </w:r>
      <w:r w:rsidRPr="00856E29">
        <w:rPr>
          <w:rFonts w:eastAsiaTheme="minorEastAsia"/>
          <w:lang w:eastAsia="zh-CN"/>
        </w:rPr>
        <w:t>HO</w:t>
      </w:r>
      <w:r w:rsidRPr="00FC57B0">
        <w:t xml:space="preserve"> is completed upon receiving NW confirmation. FFS how to confirm RACH-less HO is successfully completed. (RRC, MAC)</w:t>
      </w:r>
    </w:p>
    <w:p w14:paraId="2992638F" w14:textId="41672174" w:rsidR="00FA3FF7" w:rsidRPr="00FA3FF7" w:rsidRDefault="00FA3FF7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On-board UE status identification</w:t>
      </w:r>
    </w:p>
    <w:p w14:paraId="41210F01" w14:textId="5EDEEF62" w:rsidR="00C5700F" w:rsidRPr="00787658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2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 agreed that</w:t>
      </w:r>
      <w:r w:rsidRPr="007876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RACH-less procedure may be considered for on-board RRC_CONNECTED UEs, which are to be handed over together with the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It means that the target IAB-donor-CU needs to be aware of the on-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 xml:space="preserve">status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of handover UE and may needs to make some optimizations for the on-board UE than the surrounding UE. Therefore,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on-board/surrounding </w:t>
      </w:r>
      <w:r w:rsidRPr="00773E4B">
        <w:rPr>
          <w:rFonts w:ascii="Times New Roman" w:eastAsia="宋体" w:hAnsi="Times New Roman" w:cs="Times New Roman"/>
          <w:kern w:val="0"/>
          <w:sz w:val="20"/>
          <w:szCs w:val="20"/>
        </w:rPr>
        <w:t>status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F612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UE can be included in the handover request message.</w:t>
      </w:r>
    </w:p>
    <w:p w14:paraId="2C4975FA" w14:textId="5EBFE17A" w:rsidR="00C5700F" w:rsidRDefault="00C5700F" w:rsidP="00C5700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4" w:name="OLE_LINK8"/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BB0F0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7538A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UE handover during 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migration, to i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nclud</w:t>
      </w:r>
      <w:r w:rsidR="005A26F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bookmarkEnd w:id="4"/>
    <w:p w14:paraId="22B01614" w14:textId="5C2D6752" w:rsidR="00A539A4" w:rsidRDefault="00C5700F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addition</w:t>
      </w:r>
      <w:r w:rsidR="00027CBB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o</w:t>
      </w:r>
      <w:r w:rsidRPr="00C5700F">
        <w:rPr>
          <w:rFonts w:ascii="Times New Roman" w:eastAsia="宋体" w:hAnsi="Times New Roman" w:cs="Times New Roman"/>
          <w:kern w:val="0"/>
          <w:sz w:val="20"/>
          <w:szCs w:val="20"/>
        </w:rPr>
        <w:t>n-board/surrounding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A539A4">
        <w:rPr>
          <w:rFonts w:ascii="Times New Roman" w:eastAsia="宋体" w:hAnsi="Times New Roman" w:cs="Times New Roman"/>
          <w:kern w:val="0"/>
          <w:sz w:val="20"/>
          <w:szCs w:val="20"/>
        </w:rPr>
        <w:t xml:space="preserve">all onboard UEs needs to perform migration together with the mobile IAB-node. While for the surrounding UEs camping on the mobile IAB-node, migration together with the mobile IAB-node is not an optimal choice. Once the surrounding UEs perform migration together with the mobile IAB-node, the measurement result of serving cell become worse gradually due to the mobility of mobile IAB-node, and the surrounding UEs may need to perform handover again within a short time. </w:t>
      </w:r>
    </w:p>
    <w:p w14:paraId="584BB409" w14:textId="786962A7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addition, as specified in the WID, n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 xml:space="preserve">o optimizations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 w:rsidRPr="00E75FF9">
        <w:rPr>
          <w:rFonts w:ascii="Times New Roman" w:eastAsia="宋体" w:hAnsi="Times New Roman" w:cs="Times New Roman"/>
          <w:kern w:val="0"/>
          <w:sz w:val="20"/>
          <w:szCs w:val="20"/>
        </w:rPr>
        <w:t>for the targeting of surrounding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which means all enhancements related to group mobility</w:t>
      </w:r>
      <w:r w:rsidR="003F66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only considered for the onboard UEs. In addition, we have agreed that RACH-less handover may be only considered for on-board UEs rather than surrounding UEs. Therefore, it’s necessary to differentiate </w:t>
      </w:r>
      <w:r w:rsidRPr="00FC6BB4">
        <w:rPr>
          <w:rFonts w:ascii="Times New Roman" w:eastAsia="宋体" w:hAnsi="Times New Roman" w:cs="Times New Roman"/>
          <w:kern w:val="0"/>
          <w:sz w:val="20"/>
          <w:szCs w:val="20"/>
        </w:rPr>
        <w:t xml:space="preserve">onboard UEs and surrounding UEs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IAB-donor. And no matter how UE determine whether it’s in the status of onboard or surrounding,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needs to 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 its onboard/surrounding status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status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B46B501" w14:textId="7E3510B2" w:rsidR="00A539A4" w:rsidRDefault="00A539A4" w:rsidP="00A539A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BB0F0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03BD1BBD" w14:textId="77777777" w:rsidR="009036A3" w:rsidRPr="0066723C" w:rsidRDefault="009036A3" w:rsidP="009036A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8C2BCF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p w14:paraId="0AC699B7" w14:textId="223C8EED" w:rsidR="00327596" w:rsidRDefault="00327596" w:rsidP="0032759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should have no descendent IAB-nodes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only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</w:t>
      </w:r>
      <w:r w:rsidRPr="00E44D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defined in the WID.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he method of not broadcasting “iab-Support” indication is sufficient to prevent other IAB-node from accessing mobile IAB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the </w:t>
      </w:r>
      <w:r w:rsidRPr="00622D67">
        <w:rPr>
          <w:rFonts w:ascii="Times New Roman" w:eastAsia="宋体" w:hAnsi="Times New Roman" w:cs="Times New Roman"/>
          <w:kern w:val="0"/>
          <w:sz w:val="20"/>
          <w:szCs w:val="20"/>
        </w:rPr>
        <w:t>“iab-Support” indication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only applied for IAB-node integration procedure, it needs to avoid that a source IAB-donor-CU to configure measurement to an IAB-node with a potential cell belonging to a mobile IAB-node, and the source IAB-donor-CU to trigger handover of the IAB-node to the mobile IAB-node cell. Therefore, the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CU of 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potential 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>target cell belong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016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IAB-node.</w:t>
      </w:r>
    </w:p>
    <w:p w14:paraId="3EA15613" w14:textId="0F3A722D" w:rsidR="00692D0D" w:rsidRDefault="00327596" w:rsidP="002D414F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5" w:name="OLE_LINK14"/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B0F06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5"/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8E257A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C214F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AC214F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AC214F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225F3652" w14:textId="77777777" w:rsidR="00A9004F" w:rsidRPr="003B0384" w:rsidRDefault="00A9004F" w:rsidP="00A9004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B038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B038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Legacy CHO procedure can be reused by the served UEs of mobile IAB-node, and source IAB-DU powers down the cells by implementation to trigger the CHO.</w:t>
      </w:r>
    </w:p>
    <w:p w14:paraId="39B3BF3B" w14:textId="3EFD939D" w:rsidR="00A9004F" w:rsidRPr="001D5DFE" w:rsidRDefault="00A9004F" w:rsidP="00A9004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D5DF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RACH-less HO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during mIAB-DU migration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an explicit beam information can be included in the HO command as baseline, or UE can reuse the same beam </w:t>
      </w:r>
      <w:r w:rsidR="00E56D8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as 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the source cell.</w:t>
      </w:r>
    </w:p>
    <w:p w14:paraId="728DDAFA" w14:textId="77777777" w:rsidR="001217A1" w:rsidRPr="00E344A7" w:rsidRDefault="001217A1" w:rsidP="001217A1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344A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</w:t>
      </w:r>
      <w:r w:rsidRPr="001D5DF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RACH-less HO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during mIAB-DU migration, b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oth type-1 configured grant and dynamic grant are supported 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initial UL transmission</w:t>
      </w:r>
      <w:r w:rsidRPr="00E344A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5438AC1" w14:textId="1C5B1FCC" w:rsidR="005A26F8" w:rsidRDefault="005A26F8" w:rsidP="005A26F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12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of UE handover during IAB-DU migration, to include o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n-board/surrounding 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status </w:t>
      </w:r>
      <w:r w:rsidRPr="00F612F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of UE in the handover request message.</w:t>
      </w:r>
    </w:p>
    <w:p w14:paraId="201EC542" w14:textId="77777777" w:rsidR="00A9004F" w:rsidRDefault="00A9004F" w:rsidP="00A9004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UE reports its onboard/surrounding status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once it determine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 or change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0218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status.</w:t>
      </w:r>
    </w:p>
    <w:p w14:paraId="57823E55" w14:textId="77777777" w:rsidR="00A9004F" w:rsidRDefault="00A9004F" w:rsidP="00A9004F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ource </w:t>
      </w:r>
      <w:r>
        <w:rPr>
          <w:rFonts w:ascii="Times New Roman" w:hAnsi="Times New Roman" w:cs="Times New Roman"/>
          <w:b/>
          <w:bCs/>
          <w:sz w:val="20"/>
          <w:szCs w:val="20"/>
        </w:rPr>
        <w:t>IAB-donor-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CU of 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 xml:space="preserve"> whether 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potential 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AC00B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AC00B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3244BFD7" w14:textId="155EF38F" w:rsidR="00C07627" w:rsidRDefault="00C07627" w:rsidP="00C0762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NR_mobile_IAB. </w:t>
      </w:r>
    </w:p>
    <w:p w14:paraId="7E72C195" w14:textId="1DFA888C" w:rsidR="003E0958" w:rsidRPr="00F838A4" w:rsidRDefault="009762FC" w:rsidP="00A60CD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RAN2 119</w:t>
      </w:r>
      <w:r w:rsidR="000B6282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-e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A9004F">
        <w:rPr>
          <w:rFonts w:ascii="Times New Roman" w:eastAsia="宋体" w:hAnsi="Times New Roman" w:cs="Times New Roman"/>
          <w:kern w:val="0"/>
          <w:sz w:val="20"/>
          <w:lang w:val="x-none"/>
        </w:rPr>
        <w:t>–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121</w:t>
      </w:r>
      <w:r w:rsidR="00A9004F">
        <w:rPr>
          <w:rFonts w:ascii="Times New Roman" w:eastAsia="宋体" w:hAnsi="Times New Roman" w:cs="Times New Roman"/>
          <w:kern w:val="0"/>
          <w:sz w:val="20"/>
          <w:lang w:val="x-none"/>
        </w:rPr>
        <w:t>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03534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3E0958" w:rsidRPr="00F838A4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02AF" w14:textId="77777777" w:rsidR="002577EE" w:rsidRDefault="002577EE" w:rsidP="00AA3FAE">
      <w:r>
        <w:separator/>
      </w:r>
    </w:p>
  </w:endnote>
  <w:endnote w:type="continuationSeparator" w:id="0">
    <w:p w14:paraId="5E4BDE6F" w14:textId="77777777" w:rsidR="002577EE" w:rsidRDefault="002577E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39F26" w14:textId="77777777" w:rsidR="002577EE" w:rsidRDefault="002577EE" w:rsidP="00AA3FAE">
      <w:r>
        <w:separator/>
      </w:r>
    </w:p>
  </w:footnote>
  <w:footnote w:type="continuationSeparator" w:id="0">
    <w:p w14:paraId="13AF2815" w14:textId="77777777" w:rsidR="002577EE" w:rsidRDefault="002577E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84D9D"/>
    <w:multiLevelType w:val="hybridMultilevel"/>
    <w:tmpl w:val="40D0D1F4"/>
    <w:lvl w:ilvl="0" w:tplc="94DC551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449F6"/>
    <w:multiLevelType w:val="hybridMultilevel"/>
    <w:tmpl w:val="45E279C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856923"/>
    <w:multiLevelType w:val="hybridMultilevel"/>
    <w:tmpl w:val="71BA7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96"/>
        </w:tabs>
        <w:ind w:left="-8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075"/>
        </w:tabs>
        <w:ind w:left="-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55"/>
        </w:tabs>
        <w:ind w:left="-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"/>
        </w:tabs>
        <w:ind w:left="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</w:abstractNum>
  <w:num w:numId="1" w16cid:durableId="627008234">
    <w:abstractNumId w:val="10"/>
  </w:num>
  <w:num w:numId="2" w16cid:durableId="1909487870">
    <w:abstractNumId w:val="4"/>
  </w:num>
  <w:num w:numId="3" w16cid:durableId="1776706110">
    <w:abstractNumId w:val="2"/>
  </w:num>
  <w:num w:numId="4" w16cid:durableId="1063452926">
    <w:abstractNumId w:val="13"/>
  </w:num>
  <w:num w:numId="5" w16cid:durableId="159590811">
    <w:abstractNumId w:val="7"/>
  </w:num>
  <w:num w:numId="6" w16cid:durableId="549340024">
    <w:abstractNumId w:val="18"/>
  </w:num>
  <w:num w:numId="7" w16cid:durableId="1533570270">
    <w:abstractNumId w:val="15"/>
  </w:num>
  <w:num w:numId="8" w16cid:durableId="1911619972">
    <w:abstractNumId w:val="8"/>
  </w:num>
  <w:num w:numId="9" w16cid:durableId="512300356">
    <w:abstractNumId w:val="0"/>
  </w:num>
  <w:num w:numId="10" w16cid:durableId="1436093840">
    <w:abstractNumId w:val="5"/>
  </w:num>
  <w:num w:numId="11" w16cid:durableId="1271814385">
    <w:abstractNumId w:val="11"/>
  </w:num>
  <w:num w:numId="12" w16cid:durableId="873419911">
    <w:abstractNumId w:val="16"/>
  </w:num>
  <w:num w:numId="13" w16cid:durableId="1328247834">
    <w:abstractNumId w:val="12"/>
  </w:num>
  <w:num w:numId="14" w16cid:durableId="1523712847">
    <w:abstractNumId w:val="6"/>
  </w:num>
  <w:num w:numId="15" w16cid:durableId="1543975560">
    <w:abstractNumId w:val="1"/>
  </w:num>
  <w:num w:numId="16" w16cid:durableId="881865232">
    <w:abstractNumId w:val="14"/>
  </w:num>
  <w:num w:numId="17" w16cid:durableId="630402364">
    <w:abstractNumId w:val="3"/>
  </w:num>
  <w:num w:numId="18" w16cid:durableId="1185556464">
    <w:abstractNumId w:val="18"/>
  </w:num>
  <w:num w:numId="19" w16cid:durableId="343751357">
    <w:abstractNumId w:val="18"/>
  </w:num>
  <w:num w:numId="20" w16cid:durableId="102965749">
    <w:abstractNumId w:val="18"/>
  </w:num>
  <w:num w:numId="21" w16cid:durableId="949318608">
    <w:abstractNumId w:val="18"/>
  </w:num>
  <w:num w:numId="22" w16cid:durableId="288970765">
    <w:abstractNumId w:val="18"/>
  </w:num>
  <w:num w:numId="23" w16cid:durableId="1930917760">
    <w:abstractNumId w:val="17"/>
  </w:num>
  <w:num w:numId="24" w16cid:durableId="16399207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1DA"/>
    <w:rsid w:val="00000419"/>
    <w:rsid w:val="00004B28"/>
    <w:rsid w:val="00006633"/>
    <w:rsid w:val="0000703A"/>
    <w:rsid w:val="000078D6"/>
    <w:rsid w:val="000201E2"/>
    <w:rsid w:val="0002183F"/>
    <w:rsid w:val="000240AC"/>
    <w:rsid w:val="000277D7"/>
    <w:rsid w:val="00027CBB"/>
    <w:rsid w:val="00033584"/>
    <w:rsid w:val="00036BFD"/>
    <w:rsid w:val="00036C32"/>
    <w:rsid w:val="00036D3D"/>
    <w:rsid w:val="00037738"/>
    <w:rsid w:val="00037A2D"/>
    <w:rsid w:val="0004320E"/>
    <w:rsid w:val="00043B7B"/>
    <w:rsid w:val="00047545"/>
    <w:rsid w:val="000502FD"/>
    <w:rsid w:val="000505CB"/>
    <w:rsid w:val="00055D15"/>
    <w:rsid w:val="000566E1"/>
    <w:rsid w:val="00060A16"/>
    <w:rsid w:val="00062DAA"/>
    <w:rsid w:val="00064FA3"/>
    <w:rsid w:val="00067299"/>
    <w:rsid w:val="000676A1"/>
    <w:rsid w:val="0007088F"/>
    <w:rsid w:val="000723BB"/>
    <w:rsid w:val="00072574"/>
    <w:rsid w:val="000752E1"/>
    <w:rsid w:val="00080CC2"/>
    <w:rsid w:val="00082EC4"/>
    <w:rsid w:val="0008663F"/>
    <w:rsid w:val="00093EF1"/>
    <w:rsid w:val="000978FD"/>
    <w:rsid w:val="000A1873"/>
    <w:rsid w:val="000A4883"/>
    <w:rsid w:val="000B09C9"/>
    <w:rsid w:val="000B161E"/>
    <w:rsid w:val="000B1938"/>
    <w:rsid w:val="000B1D18"/>
    <w:rsid w:val="000B2144"/>
    <w:rsid w:val="000B6282"/>
    <w:rsid w:val="000B6690"/>
    <w:rsid w:val="000C008E"/>
    <w:rsid w:val="000C0937"/>
    <w:rsid w:val="000C19A3"/>
    <w:rsid w:val="000C2AA4"/>
    <w:rsid w:val="000C6E45"/>
    <w:rsid w:val="000D18C1"/>
    <w:rsid w:val="000D2B2B"/>
    <w:rsid w:val="000D4E54"/>
    <w:rsid w:val="000E15E2"/>
    <w:rsid w:val="000E1F7B"/>
    <w:rsid w:val="000E443D"/>
    <w:rsid w:val="000E5A48"/>
    <w:rsid w:val="000E6C5A"/>
    <w:rsid w:val="000E7279"/>
    <w:rsid w:val="000F40EC"/>
    <w:rsid w:val="000F739D"/>
    <w:rsid w:val="0010503F"/>
    <w:rsid w:val="001119CE"/>
    <w:rsid w:val="00111B28"/>
    <w:rsid w:val="00114A1F"/>
    <w:rsid w:val="001217A1"/>
    <w:rsid w:val="001229AC"/>
    <w:rsid w:val="0012681D"/>
    <w:rsid w:val="00126DEE"/>
    <w:rsid w:val="00127B59"/>
    <w:rsid w:val="001305AC"/>
    <w:rsid w:val="00131641"/>
    <w:rsid w:val="001322B8"/>
    <w:rsid w:val="00132B08"/>
    <w:rsid w:val="00134957"/>
    <w:rsid w:val="00135BED"/>
    <w:rsid w:val="00135C3C"/>
    <w:rsid w:val="00136C10"/>
    <w:rsid w:val="00141555"/>
    <w:rsid w:val="00144C24"/>
    <w:rsid w:val="00152D85"/>
    <w:rsid w:val="001556FC"/>
    <w:rsid w:val="00157E02"/>
    <w:rsid w:val="0016588F"/>
    <w:rsid w:val="00166E1C"/>
    <w:rsid w:val="00175A07"/>
    <w:rsid w:val="00180496"/>
    <w:rsid w:val="001826EA"/>
    <w:rsid w:val="00185A91"/>
    <w:rsid w:val="00190A87"/>
    <w:rsid w:val="00190FAF"/>
    <w:rsid w:val="00191ACA"/>
    <w:rsid w:val="001A2383"/>
    <w:rsid w:val="001A34F9"/>
    <w:rsid w:val="001A4DB9"/>
    <w:rsid w:val="001A7350"/>
    <w:rsid w:val="001B1D5F"/>
    <w:rsid w:val="001B2FA1"/>
    <w:rsid w:val="001B361E"/>
    <w:rsid w:val="001B4767"/>
    <w:rsid w:val="001B507E"/>
    <w:rsid w:val="001B7E53"/>
    <w:rsid w:val="001C1DAB"/>
    <w:rsid w:val="001C1DCC"/>
    <w:rsid w:val="001C473D"/>
    <w:rsid w:val="001D012F"/>
    <w:rsid w:val="001D0C68"/>
    <w:rsid w:val="001D3376"/>
    <w:rsid w:val="001D59CE"/>
    <w:rsid w:val="001D5DFE"/>
    <w:rsid w:val="001D5F73"/>
    <w:rsid w:val="001D69F7"/>
    <w:rsid w:val="001D70B0"/>
    <w:rsid w:val="001F0BEA"/>
    <w:rsid w:val="001F1421"/>
    <w:rsid w:val="00204BF0"/>
    <w:rsid w:val="00212BCD"/>
    <w:rsid w:val="00212DB4"/>
    <w:rsid w:val="002136B8"/>
    <w:rsid w:val="002144CD"/>
    <w:rsid w:val="002145FF"/>
    <w:rsid w:val="00220099"/>
    <w:rsid w:val="002222FA"/>
    <w:rsid w:val="00231C9C"/>
    <w:rsid w:val="0023239F"/>
    <w:rsid w:val="002340BA"/>
    <w:rsid w:val="00234C75"/>
    <w:rsid w:val="00236C71"/>
    <w:rsid w:val="00237A12"/>
    <w:rsid w:val="002428E4"/>
    <w:rsid w:val="0024433A"/>
    <w:rsid w:val="00245E3F"/>
    <w:rsid w:val="002500C6"/>
    <w:rsid w:val="00252749"/>
    <w:rsid w:val="00253AF0"/>
    <w:rsid w:val="002551E1"/>
    <w:rsid w:val="00256265"/>
    <w:rsid w:val="00256FA7"/>
    <w:rsid w:val="002577EE"/>
    <w:rsid w:val="002600F8"/>
    <w:rsid w:val="00267070"/>
    <w:rsid w:val="00273494"/>
    <w:rsid w:val="002750D3"/>
    <w:rsid w:val="00276074"/>
    <w:rsid w:val="00276F97"/>
    <w:rsid w:val="00280554"/>
    <w:rsid w:val="0028087C"/>
    <w:rsid w:val="002823D1"/>
    <w:rsid w:val="00290072"/>
    <w:rsid w:val="002911AD"/>
    <w:rsid w:val="00296038"/>
    <w:rsid w:val="002A2C8B"/>
    <w:rsid w:val="002A52AF"/>
    <w:rsid w:val="002B0EC9"/>
    <w:rsid w:val="002B110B"/>
    <w:rsid w:val="002B2A17"/>
    <w:rsid w:val="002B32DD"/>
    <w:rsid w:val="002C1AD2"/>
    <w:rsid w:val="002C3897"/>
    <w:rsid w:val="002D414F"/>
    <w:rsid w:val="002D4547"/>
    <w:rsid w:val="002D4BCF"/>
    <w:rsid w:val="002D4E9D"/>
    <w:rsid w:val="002D6B36"/>
    <w:rsid w:val="002E61C9"/>
    <w:rsid w:val="002E6200"/>
    <w:rsid w:val="002E692B"/>
    <w:rsid w:val="002E6AB3"/>
    <w:rsid w:val="002E7223"/>
    <w:rsid w:val="002F4BF9"/>
    <w:rsid w:val="002F5ADB"/>
    <w:rsid w:val="002F760C"/>
    <w:rsid w:val="002F7DD1"/>
    <w:rsid w:val="0030141D"/>
    <w:rsid w:val="00302732"/>
    <w:rsid w:val="00304AB3"/>
    <w:rsid w:val="0030768E"/>
    <w:rsid w:val="00311F6E"/>
    <w:rsid w:val="003179AD"/>
    <w:rsid w:val="00317D40"/>
    <w:rsid w:val="00320179"/>
    <w:rsid w:val="00320565"/>
    <w:rsid w:val="00321461"/>
    <w:rsid w:val="0032189B"/>
    <w:rsid w:val="003235A4"/>
    <w:rsid w:val="00327596"/>
    <w:rsid w:val="00330B37"/>
    <w:rsid w:val="00334DB1"/>
    <w:rsid w:val="00335AB1"/>
    <w:rsid w:val="00341CB7"/>
    <w:rsid w:val="00342086"/>
    <w:rsid w:val="00343CCD"/>
    <w:rsid w:val="00350C12"/>
    <w:rsid w:val="003516DE"/>
    <w:rsid w:val="00361C16"/>
    <w:rsid w:val="00365B8F"/>
    <w:rsid w:val="00366014"/>
    <w:rsid w:val="003679C3"/>
    <w:rsid w:val="00372A8A"/>
    <w:rsid w:val="003731AF"/>
    <w:rsid w:val="0037446F"/>
    <w:rsid w:val="003752E3"/>
    <w:rsid w:val="00375C4E"/>
    <w:rsid w:val="00380000"/>
    <w:rsid w:val="00384228"/>
    <w:rsid w:val="00387B6B"/>
    <w:rsid w:val="00390E2E"/>
    <w:rsid w:val="00390E73"/>
    <w:rsid w:val="00390FB4"/>
    <w:rsid w:val="00392D92"/>
    <w:rsid w:val="00392F22"/>
    <w:rsid w:val="00394045"/>
    <w:rsid w:val="00394A0E"/>
    <w:rsid w:val="003953EC"/>
    <w:rsid w:val="00396E48"/>
    <w:rsid w:val="003A0B1A"/>
    <w:rsid w:val="003A4A2A"/>
    <w:rsid w:val="003A5735"/>
    <w:rsid w:val="003B0384"/>
    <w:rsid w:val="003B6F2C"/>
    <w:rsid w:val="003B6F44"/>
    <w:rsid w:val="003B717D"/>
    <w:rsid w:val="003B751D"/>
    <w:rsid w:val="003B789C"/>
    <w:rsid w:val="003C2950"/>
    <w:rsid w:val="003C5399"/>
    <w:rsid w:val="003D1A4E"/>
    <w:rsid w:val="003D369B"/>
    <w:rsid w:val="003D3860"/>
    <w:rsid w:val="003D3CD3"/>
    <w:rsid w:val="003D4A95"/>
    <w:rsid w:val="003E0958"/>
    <w:rsid w:val="003E1D22"/>
    <w:rsid w:val="003E3846"/>
    <w:rsid w:val="003E4C51"/>
    <w:rsid w:val="003F3AFD"/>
    <w:rsid w:val="003F56FA"/>
    <w:rsid w:val="003F66B4"/>
    <w:rsid w:val="003F6ABF"/>
    <w:rsid w:val="0040415F"/>
    <w:rsid w:val="00404AE4"/>
    <w:rsid w:val="00406254"/>
    <w:rsid w:val="00412763"/>
    <w:rsid w:val="004136AB"/>
    <w:rsid w:val="00413FAB"/>
    <w:rsid w:val="00414D11"/>
    <w:rsid w:val="00415AD8"/>
    <w:rsid w:val="00415B4C"/>
    <w:rsid w:val="00415D56"/>
    <w:rsid w:val="0042361B"/>
    <w:rsid w:val="004246D2"/>
    <w:rsid w:val="0042475F"/>
    <w:rsid w:val="00427CB3"/>
    <w:rsid w:val="004307A0"/>
    <w:rsid w:val="00430C1C"/>
    <w:rsid w:val="00436934"/>
    <w:rsid w:val="0043723B"/>
    <w:rsid w:val="00443070"/>
    <w:rsid w:val="0044584A"/>
    <w:rsid w:val="004477D6"/>
    <w:rsid w:val="00450E17"/>
    <w:rsid w:val="00450E5B"/>
    <w:rsid w:val="0045226C"/>
    <w:rsid w:val="00452823"/>
    <w:rsid w:val="00456853"/>
    <w:rsid w:val="00457055"/>
    <w:rsid w:val="00463114"/>
    <w:rsid w:val="0046367F"/>
    <w:rsid w:val="00466B81"/>
    <w:rsid w:val="00471709"/>
    <w:rsid w:val="00471AD9"/>
    <w:rsid w:val="0047389C"/>
    <w:rsid w:val="00475801"/>
    <w:rsid w:val="004774BA"/>
    <w:rsid w:val="00480000"/>
    <w:rsid w:val="00486B2C"/>
    <w:rsid w:val="004927F4"/>
    <w:rsid w:val="00494DF4"/>
    <w:rsid w:val="00496030"/>
    <w:rsid w:val="004A0C67"/>
    <w:rsid w:val="004A1AEA"/>
    <w:rsid w:val="004A25BE"/>
    <w:rsid w:val="004A42BB"/>
    <w:rsid w:val="004A5C45"/>
    <w:rsid w:val="004B3E3C"/>
    <w:rsid w:val="004B6023"/>
    <w:rsid w:val="004C60BA"/>
    <w:rsid w:val="004C735E"/>
    <w:rsid w:val="004D32F2"/>
    <w:rsid w:val="004D4385"/>
    <w:rsid w:val="004D606F"/>
    <w:rsid w:val="004D62D5"/>
    <w:rsid w:val="004E3A43"/>
    <w:rsid w:val="004E4425"/>
    <w:rsid w:val="004E4591"/>
    <w:rsid w:val="004F61DC"/>
    <w:rsid w:val="005007D4"/>
    <w:rsid w:val="00502B78"/>
    <w:rsid w:val="005039F0"/>
    <w:rsid w:val="00512FC9"/>
    <w:rsid w:val="00513AA1"/>
    <w:rsid w:val="00515CED"/>
    <w:rsid w:val="0051628D"/>
    <w:rsid w:val="0051755B"/>
    <w:rsid w:val="0052004E"/>
    <w:rsid w:val="00520A23"/>
    <w:rsid w:val="0052635C"/>
    <w:rsid w:val="00530A86"/>
    <w:rsid w:val="00531B04"/>
    <w:rsid w:val="00536A3C"/>
    <w:rsid w:val="00542B46"/>
    <w:rsid w:val="005448D3"/>
    <w:rsid w:val="00544DED"/>
    <w:rsid w:val="00551CC7"/>
    <w:rsid w:val="00552A2B"/>
    <w:rsid w:val="00555FA0"/>
    <w:rsid w:val="00561831"/>
    <w:rsid w:val="00563788"/>
    <w:rsid w:val="00564234"/>
    <w:rsid w:val="005649E8"/>
    <w:rsid w:val="0056624E"/>
    <w:rsid w:val="0057053B"/>
    <w:rsid w:val="00575725"/>
    <w:rsid w:val="00576785"/>
    <w:rsid w:val="00576915"/>
    <w:rsid w:val="00581A65"/>
    <w:rsid w:val="00581CF8"/>
    <w:rsid w:val="00585B50"/>
    <w:rsid w:val="00592A23"/>
    <w:rsid w:val="005948A9"/>
    <w:rsid w:val="005955C1"/>
    <w:rsid w:val="00595FB1"/>
    <w:rsid w:val="005963F4"/>
    <w:rsid w:val="005A09F0"/>
    <w:rsid w:val="005A26F8"/>
    <w:rsid w:val="005A382F"/>
    <w:rsid w:val="005A3D99"/>
    <w:rsid w:val="005A3F3D"/>
    <w:rsid w:val="005A5B85"/>
    <w:rsid w:val="005A69FF"/>
    <w:rsid w:val="005B2E70"/>
    <w:rsid w:val="005B486E"/>
    <w:rsid w:val="005B5C3C"/>
    <w:rsid w:val="005B7C38"/>
    <w:rsid w:val="005C2CC5"/>
    <w:rsid w:val="005C3F0F"/>
    <w:rsid w:val="005C4076"/>
    <w:rsid w:val="005C506E"/>
    <w:rsid w:val="005C5C02"/>
    <w:rsid w:val="005D0B2C"/>
    <w:rsid w:val="005D0E78"/>
    <w:rsid w:val="005D4401"/>
    <w:rsid w:val="005D4C79"/>
    <w:rsid w:val="005D7561"/>
    <w:rsid w:val="005E13D4"/>
    <w:rsid w:val="005E2E23"/>
    <w:rsid w:val="005E3163"/>
    <w:rsid w:val="005E6FC3"/>
    <w:rsid w:val="005F5AC9"/>
    <w:rsid w:val="00600785"/>
    <w:rsid w:val="006014DF"/>
    <w:rsid w:val="00603256"/>
    <w:rsid w:val="0060363E"/>
    <w:rsid w:val="006125F9"/>
    <w:rsid w:val="00616F03"/>
    <w:rsid w:val="00617F75"/>
    <w:rsid w:val="00621AA7"/>
    <w:rsid w:val="0063053E"/>
    <w:rsid w:val="00632A49"/>
    <w:rsid w:val="0063482D"/>
    <w:rsid w:val="00637F05"/>
    <w:rsid w:val="00640255"/>
    <w:rsid w:val="006469D6"/>
    <w:rsid w:val="00650A3D"/>
    <w:rsid w:val="00653BB4"/>
    <w:rsid w:val="006571A2"/>
    <w:rsid w:val="00657ABB"/>
    <w:rsid w:val="00657FF9"/>
    <w:rsid w:val="00664B31"/>
    <w:rsid w:val="00666EA1"/>
    <w:rsid w:val="0066723C"/>
    <w:rsid w:val="00671523"/>
    <w:rsid w:val="00672C28"/>
    <w:rsid w:val="00673EB7"/>
    <w:rsid w:val="00674294"/>
    <w:rsid w:val="006800AE"/>
    <w:rsid w:val="006812B2"/>
    <w:rsid w:val="006844A4"/>
    <w:rsid w:val="00684A23"/>
    <w:rsid w:val="0069000C"/>
    <w:rsid w:val="00692D0D"/>
    <w:rsid w:val="006931BD"/>
    <w:rsid w:val="00693D99"/>
    <w:rsid w:val="00696D8E"/>
    <w:rsid w:val="0069713B"/>
    <w:rsid w:val="00697690"/>
    <w:rsid w:val="006A0A85"/>
    <w:rsid w:val="006A1B51"/>
    <w:rsid w:val="006A22C3"/>
    <w:rsid w:val="006A7B11"/>
    <w:rsid w:val="006B2408"/>
    <w:rsid w:val="006B763F"/>
    <w:rsid w:val="006B7D13"/>
    <w:rsid w:val="006C17A2"/>
    <w:rsid w:val="006C1F5B"/>
    <w:rsid w:val="006C6E1A"/>
    <w:rsid w:val="006D3A5E"/>
    <w:rsid w:val="006D463C"/>
    <w:rsid w:val="006D4F64"/>
    <w:rsid w:val="006D51EF"/>
    <w:rsid w:val="006D62EA"/>
    <w:rsid w:val="006D662F"/>
    <w:rsid w:val="006D6EE7"/>
    <w:rsid w:val="006E7CED"/>
    <w:rsid w:val="006E7F53"/>
    <w:rsid w:val="006F009A"/>
    <w:rsid w:val="006F0E48"/>
    <w:rsid w:val="006F3309"/>
    <w:rsid w:val="006F3844"/>
    <w:rsid w:val="006F5211"/>
    <w:rsid w:val="006F718A"/>
    <w:rsid w:val="006F7948"/>
    <w:rsid w:val="006F7A32"/>
    <w:rsid w:val="00701C8C"/>
    <w:rsid w:val="007025DD"/>
    <w:rsid w:val="00703BAA"/>
    <w:rsid w:val="00704F12"/>
    <w:rsid w:val="00707153"/>
    <w:rsid w:val="00707369"/>
    <w:rsid w:val="007105BA"/>
    <w:rsid w:val="00711D23"/>
    <w:rsid w:val="00712DD9"/>
    <w:rsid w:val="00714F93"/>
    <w:rsid w:val="007158E6"/>
    <w:rsid w:val="00724078"/>
    <w:rsid w:val="007260FF"/>
    <w:rsid w:val="0073082C"/>
    <w:rsid w:val="00732338"/>
    <w:rsid w:val="00733434"/>
    <w:rsid w:val="007345D8"/>
    <w:rsid w:val="00735937"/>
    <w:rsid w:val="0073758A"/>
    <w:rsid w:val="00737D56"/>
    <w:rsid w:val="007514CB"/>
    <w:rsid w:val="007538A0"/>
    <w:rsid w:val="00760B23"/>
    <w:rsid w:val="00764288"/>
    <w:rsid w:val="007650AE"/>
    <w:rsid w:val="00766391"/>
    <w:rsid w:val="00773E4B"/>
    <w:rsid w:val="0078172C"/>
    <w:rsid w:val="00785D79"/>
    <w:rsid w:val="00787658"/>
    <w:rsid w:val="00787DA7"/>
    <w:rsid w:val="0079372C"/>
    <w:rsid w:val="0079429A"/>
    <w:rsid w:val="007A13C5"/>
    <w:rsid w:val="007A6E39"/>
    <w:rsid w:val="007B0D5E"/>
    <w:rsid w:val="007B19BC"/>
    <w:rsid w:val="007B510C"/>
    <w:rsid w:val="007C0CA1"/>
    <w:rsid w:val="007C2284"/>
    <w:rsid w:val="007C759A"/>
    <w:rsid w:val="007C7FDE"/>
    <w:rsid w:val="007D41EC"/>
    <w:rsid w:val="007D48BB"/>
    <w:rsid w:val="007E0AA7"/>
    <w:rsid w:val="007E213F"/>
    <w:rsid w:val="007E2405"/>
    <w:rsid w:val="007E2DF6"/>
    <w:rsid w:val="007E723E"/>
    <w:rsid w:val="007E7264"/>
    <w:rsid w:val="007F0218"/>
    <w:rsid w:val="007F0740"/>
    <w:rsid w:val="007F25EF"/>
    <w:rsid w:val="007F30C7"/>
    <w:rsid w:val="007F34F0"/>
    <w:rsid w:val="007F7505"/>
    <w:rsid w:val="007F7E36"/>
    <w:rsid w:val="007F7F2C"/>
    <w:rsid w:val="00803FA0"/>
    <w:rsid w:val="00804083"/>
    <w:rsid w:val="0080763E"/>
    <w:rsid w:val="00817607"/>
    <w:rsid w:val="008228B0"/>
    <w:rsid w:val="00835D43"/>
    <w:rsid w:val="00841790"/>
    <w:rsid w:val="0084197E"/>
    <w:rsid w:val="0084480A"/>
    <w:rsid w:val="00846209"/>
    <w:rsid w:val="00856607"/>
    <w:rsid w:val="00856E29"/>
    <w:rsid w:val="0085709E"/>
    <w:rsid w:val="00857106"/>
    <w:rsid w:val="00865BF3"/>
    <w:rsid w:val="008666A0"/>
    <w:rsid w:val="008703AE"/>
    <w:rsid w:val="00875D9D"/>
    <w:rsid w:val="0087634F"/>
    <w:rsid w:val="0087797E"/>
    <w:rsid w:val="00880DB1"/>
    <w:rsid w:val="00882390"/>
    <w:rsid w:val="0088277A"/>
    <w:rsid w:val="00882FE4"/>
    <w:rsid w:val="00885223"/>
    <w:rsid w:val="00886368"/>
    <w:rsid w:val="00887CF9"/>
    <w:rsid w:val="00890562"/>
    <w:rsid w:val="00895539"/>
    <w:rsid w:val="00895F59"/>
    <w:rsid w:val="00897B68"/>
    <w:rsid w:val="008A15DE"/>
    <w:rsid w:val="008A4F6F"/>
    <w:rsid w:val="008A6753"/>
    <w:rsid w:val="008A6990"/>
    <w:rsid w:val="008A6F6B"/>
    <w:rsid w:val="008B2BFF"/>
    <w:rsid w:val="008B37FF"/>
    <w:rsid w:val="008B5751"/>
    <w:rsid w:val="008C187A"/>
    <w:rsid w:val="008C1ECC"/>
    <w:rsid w:val="008C2206"/>
    <w:rsid w:val="008C2BCF"/>
    <w:rsid w:val="008E1EF4"/>
    <w:rsid w:val="008E393F"/>
    <w:rsid w:val="008E7911"/>
    <w:rsid w:val="008F1CD9"/>
    <w:rsid w:val="008F4460"/>
    <w:rsid w:val="0090218F"/>
    <w:rsid w:val="009036A3"/>
    <w:rsid w:val="00905280"/>
    <w:rsid w:val="0090562B"/>
    <w:rsid w:val="00910096"/>
    <w:rsid w:val="00911342"/>
    <w:rsid w:val="00912BC3"/>
    <w:rsid w:val="00912CF1"/>
    <w:rsid w:val="00917590"/>
    <w:rsid w:val="00920997"/>
    <w:rsid w:val="0092422F"/>
    <w:rsid w:val="00924A6E"/>
    <w:rsid w:val="009271BA"/>
    <w:rsid w:val="00927B05"/>
    <w:rsid w:val="009306C9"/>
    <w:rsid w:val="0093163A"/>
    <w:rsid w:val="0093747A"/>
    <w:rsid w:val="00937E22"/>
    <w:rsid w:val="0094075C"/>
    <w:rsid w:val="00942260"/>
    <w:rsid w:val="009460B5"/>
    <w:rsid w:val="0094767F"/>
    <w:rsid w:val="009479CD"/>
    <w:rsid w:val="0095125E"/>
    <w:rsid w:val="00952028"/>
    <w:rsid w:val="0095297E"/>
    <w:rsid w:val="009536EB"/>
    <w:rsid w:val="00956BED"/>
    <w:rsid w:val="0096468A"/>
    <w:rsid w:val="0096631C"/>
    <w:rsid w:val="00966877"/>
    <w:rsid w:val="0096687C"/>
    <w:rsid w:val="00966CD3"/>
    <w:rsid w:val="009670DA"/>
    <w:rsid w:val="00967535"/>
    <w:rsid w:val="0097141E"/>
    <w:rsid w:val="0097259E"/>
    <w:rsid w:val="009762FC"/>
    <w:rsid w:val="00977DE7"/>
    <w:rsid w:val="0098482F"/>
    <w:rsid w:val="009862F0"/>
    <w:rsid w:val="009912C5"/>
    <w:rsid w:val="009A1EA2"/>
    <w:rsid w:val="009A2412"/>
    <w:rsid w:val="009A453C"/>
    <w:rsid w:val="009A5EA0"/>
    <w:rsid w:val="009A6C84"/>
    <w:rsid w:val="009B2CF8"/>
    <w:rsid w:val="009B480D"/>
    <w:rsid w:val="009B4AB1"/>
    <w:rsid w:val="009C0AD1"/>
    <w:rsid w:val="009C6980"/>
    <w:rsid w:val="009C7253"/>
    <w:rsid w:val="009D0A75"/>
    <w:rsid w:val="009D661C"/>
    <w:rsid w:val="009E2028"/>
    <w:rsid w:val="009E3E31"/>
    <w:rsid w:val="009E4367"/>
    <w:rsid w:val="009E4A78"/>
    <w:rsid w:val="009E506A"/>
    <w:rsid w:val="009E64E0"/>
    <w:rsid w:val="009E7334"/>
    <w:rsid w:val="009F010A"/>
    <w:rsid w:val="009F0D05"/>
    <w:rsid w:val="009F1A67"/>
    <w:rsid w:val="009F2104"/>
    <w:rsid w:val="009F53A5"/>
    <w:rsid w:val="00A0081A"/>
    <w:rsid w:val="00A00FB4"/>
    <w:rsid w:val="00A02560"/>
    <w:rsid w:val="00A02807"/>
    <w:rsid w:val="00A0695E"/>
    <w:rsid w:val="00A126B0"/>
    <w:rsid w:val="00A1302B"/>
    <w:rsid w:val="00A212E3"/>
    <w:rsid w:val="00A2451F"/>
    <w:rsid w:val="00A25371"/>
    <w:rsid w:val="00A25C57"/>
    <w:rsid w:val="00A33FE5"/>
    <w:rsid w:val="00A407AC"/>
    <w:rsid w:val="00A539A4"/>
    <w:rsid w:val="00A54ACE"/>
    <w:rsid w:val="00A56322"/>
    <w:rsid w:val="00A60CDE"/>
    <w:rsid w:val="00A61DF4"/>
    <w:rsid w:val="00A620B4"/>
    <w:rsid w:val="00A675C7"/>
    <w:rsid w:val="00A707C5"/>
    <w:rsid w:val="00A72210"/>
    <w:rsid w:val="00A75B82"/>
    <w:rsid w:val="00A765AC"/>
    <w:rsid w:val="00A83A17"/>
    <w:rsid w:val="00A85027"/>
    <w:rsid w:val="00A8634F"/>
    <w:rsid w:val="00A87E15"/>
    <w:rsid w:val="00A9004F"/>
    <w:rsid w:val="00AA0064"/>
    <w:rsid w:val="00AA1479"/>
    <w:rsid w:val="00AA2C1B"/>
    <w:rsid w:val="00AA333A"/>
    <w:rsid w:val="00AA3CB7"/>
    <w:rsid w:val="00AA3FAE"/>
    <w:rsid w:val="00AA43E5"/>
    <w:rsid w:val="00AA6B43"/>
    <w:rsid w:val="00AA7EAE"/>
    <w:rsid w:val="00AB304B"/>
    <w:rsid w:val="00AC214F"/>
    <w:rsid w:val="00AC3051"/>
    <w:rsid w:val="00AC6372"/>
    <w:rsid w:val="00AC7A35"/>
    <w:rsid w:val="00AD301A"/>
    <w:rsid w:val="00AD5A77"/>
    <w:rsid w:val="00AD7B57"/>
    <w:rsid w:val="00AE1953"/>
    <w:rsid w:val="00AE3826"/>
    <w:rsid w:val="00AE6011"/>
    <w:rsid w:val="00AE64E3"/>
    <w:rsid w:val="00AE6965"/>
    <w:rsid w:val="00AF1285"/>
    <w:rsid w:val="00AF2710"/>
    <w:rsid w:val="00B00FA0"/>
    <w:rsid w:val="00B019CD"/>
    <w:rsid w:val="00B03F05"/>
    <w:rsid w:val="00B205DD"/>
    <w:rsid w:val="00B21234"/>
    <w:rsid w:val="00B226EC"/>
    <w:rsid w:val="00B236AE"/>
    <w:rsid w:val="00B25068"/>
    <w:rsid w:val="00B25314"/>
    <w:rsid w:val="00B33EE7"/>
    <w:rsid w:val="00B36BE9"/>
    <w:rsid w:val="00B36DB5"/>
    <w:rsid w:val="00B403D4"/>
    <w:rsid w:val="00B475EE"/>
    <w:rsid w:val="00B51988"/>
    <w:rsid w:val="00B51A08"/>
    <w:rsid w:val="00B51B43"/>
    <w:rsid w:val="00B53140"/>
    <w:rsid w:val="00B5693F"/>
    <w:rsid w:val="00B608CE"/>
    <w:rsid w:val="00B63582"/>
    <w:rsid w:val="00B7290B"/>
    <w:rsid w:val="00B76C9C"/>
    <w:rsid w:val="00B80225"/>
    <w:rsid w:val="00B91029"/>
    <w:rsid w:val="00B936EA"/>
    <w:rsid w:val="00BA1A39"/>
    <w:rsid w:val="00BB03AA"/>
    <w:rsid w:val="00BB0F06"/>
    <w:rsid w:val="00BB431B"/>
    <w:rsid w:val="00BB5315"/>
    <w:rsid w:val="00BC2F24"/>
    <w:rsid w:val="00BC4EA8"/>
    <w:rsid w:val="00BC5C55"/>
    <w:rsid w:val="00BC717B"/>
    <w:rsid w:val="00BD07F6"/>
    <w:rsid w:val="00BD1442"/>
    <w:rsid w:val="00BD3255"/>
    <w:rsid w:val="00BE1FB3"/>
    <w:rsid w:val="00BE3450"/>
    <w:rsid w:val="00BE3AF0"/>
    <w:rsid w:val="00BE3ECD"/>
    <w:rsid w:val="00BE544E"/>
    <w:rsid w:val="00BE56D3"/>
    <w:rsid w:val="00BE66BB"/>
    <w:rsid w:val="00BE7920"/>
    <w:rsid w:val="00BF0D08"/>
    <w:rsid w:val="00C01CA9"/>
    <w:rsid w:val="00C0232F"/>
    <w:rsid w:val="00C0445B"/>
    <w:rsid w:val="00C07359"/>
    <w:rsid w:val="00C07627"/>
    <w:rsid w:val="00C137FC"/>
    <w:rsid w:val="00C1498E"/>
    <w:rsid w:val="00C16F07"/>
    <w:rsid w:val="00C220CF"/>
    <w:rsid w:val="00C25C60"/>
    <w:rsid w:val="00C3047B"/>
    <w:rsid w:val="00C31487"/>
    <w:rsid w:val="00C33EEF"/>
    <w:rsid w:val="00C35774"/>
    <w:rsid w:val="00C35973"/>
    <w:rsid w:val="00C44701"/>
    <w:rsid w:val="00C447AC"/>
    <w:rsid w:val="00C448F4"/>
    <w:rsid w:val="00C472BE"/>
    <w:rsid w:val="00C50F28"/>
    <w:rsid w:val="00C53D68"/>
    <w:rsid w:val="00C567DC"/>
    <w:rsid w:val="00C5700F"/>
    <w:rsid w:val="00C61623"/>
    <w:rsid w:val="00C65F68"/>
    <w:rsid w:val="00C663F0"/>
    <w:rsid w:val="00C70120"/>
    <w:rsid w:val="00C733E5"/>
    <w:rsid w:val="00C75852"/>
    <w:rsid w:val="00C758A1"/>
    <w:rsid w:val="00C81BA0"/>
    <w:rsid w:val="00C83745"/>
    <w:rsid w:val="00C84013"/>
    <w:rsid w:val="00C912E7"/>
    <w:rsid w:val="00C92F7E"/>
    <w:rsid w:val="00C93460"/>
    <w:rsid w:val="00C97A48"/>
    <w:rsid w:val="00CA11A4"/>
    <w:rsid w:val="00CA1662"/>
    <w:rsid w:val="00CA2F8B"/>
    <w:rsid w:val="00CB3AF7"/>
    <w:rsid w:val="00CB786B"/>
    <w:rsid w:val="00CC03CF"/>
    <w:rsid w:val="00CC1A0C"/>
    <w:rsid w:val="00CC4341"/>
    <w:rsid w:val="00CC5834"/>
    <w:rsid w:val="00CC5F4B"/>
    <w:rsid w:val="00CC62E8"/>
    <w:rsid w:val="00CC72B0"/>
    <w:rsid w:val="00CD0C0C"/>
    <w:rsid w:val="00CD3114"/>
    <w:rsid w:val="00CD729C"/>
    <w:rsid w:val="00CE298A"/>
    <w:rsid w:val="00CE3E0A"/>
    <w:rsid w:val="00CE565B"/>
    <w:rsid w:val="00CE7C33"/>
    <w:rsid w:val="00CF2621"/>
    <w:rsid w:val="00CF477A"/>
    <w:rsid w:val="00CF4D2F"/>
    <w:rsid w:val="00CF781D"/>
    <w:rsid w:val="00D01B08"/>
    <w:rsid w:val="00D02D3B"/>
    <w:rsid w:val="00D03534"/>
    <w:rsid w:val="00D10276"/>
    <w:rsid w:val="00D104F6"/>
    <w:rsid w:val="00D13979"/>
    <w:rsid w:val="00D16925"/>
    <w:rsid w:val="00D20225"/>
    <w:rsid w:val="00D20EDC"/>
    <w:rsid w:val="00D226CE"/>
    <w:rsid w:val="00D242C5"/>
    <w:rsid w:val="00D248E0"/>
    <w:rsid w:val="00D24D72"/>
    <w:rsid w:val="00D26BF2"/>
    <w:rsid w:val="00D26F6E"/>
    <w:rsid w:val="00D27F50"/>
    <w:rsid w:val="00D35939"/>
    <w:rsid w:val="00D43587"/>
    <w:rsid w:val="00D43FDB"/>
    <w:rsid w:val="00D45C4F"/>
    <w:rsid w:val="00D526C9"/>
    <w:rsid w:val="00D533AB"/>
    <w:rsid w:val="00D5676C"/>
    <w:rsid w:val="00D577F8"/>
    <w:rsid w:val="00D57EF6"/>
    <w:rsid w:val="00D6107C"/>
    <w:rsid w:val="00D635A8"/>
    <w:rsid w:val="00D73418"/>
    <w:rsid w:val="00D74DD4"/>
    <w:rsid w:val="00D75DA1"/>
    <w:rsid w:val="00D76F6E"/>
    <w:rsid w:val="00D801F5"/>
    <w:rsid w:val="00D851CA"/>
    <w:rsid w:val="00D85925"/>
    <w:rsid w:val="00D869B7"/>
    <w:rsid w:val="00D92198"/>
    <w:rsid w:val="00D92865"/>
    <w:rsid w:val="00D95016"/>
    <w:rsid w:val="00D956D6"/>
    <w:rsid w:val="00D96DF4"/>
    <w:rsid w:val="00D971A3"/>
    <w:rsid w:val="00D9742C"/>
    <w:rsid w:val="00DA0578"/>
    <w:rsid w:val="00DA4EBC"/>
    <w:rsid w:val="00DA6317"/>
    <w:rsid w:val="00DB020D"/>
    <w:rsid w:val="00DB113C"/>
    <w:rsid w:val="00DB22CF"/>
    <w:rsid w:val="00DB5E41"/>
    <w:rsid w:val="00DC00CD"/>
    <w:rsid w:val="00DC0D46"/>
    <w:rsid w:val="00DC21C1"/>
    <w:rsid w:val="00DC2554"/>
    <w:rsid w:val="00DC27A2"/>
    <w:rsid w:val="00DC2B66"/>
    <w:rsid w:val="00DC3576"/>
    <w:rsid w:val="00DC494E"/>
    <w:rsid w:val="00DC4A89"/>
    <w:rsid w:val="00DD0D2A"/>
    <w:rsid w:val="00DD4A2B"/>
    <w:rsid w:val="00DD4FF8"/>
    <w:rsid w:val="00DE0283"/>
    <w:rsid w:val="00DE15ED"/>
    <w:rsid w:val="00DE44DC"/>
    <w:rsid w:val="00DF1E8D"/>
    <w:rsid w:val="00DF66F0"/>
    <w:rsid w:val="00DF6E59"/>
    <w:rsid w:val="00DF760F"/>
    <w:rsid w:val="00E00799"/>
    <w:rsid w:val="00E00E64"/>
    <w:rsid w:val="00E026F9"/>
    <w:rsid w:val="00E053C3"/>
    <w:rsid w:val="00E05A10"/>
    <w:rsid w:val="00E063C8"/>
    <w:rsid w:val="00E06C9B"/>
    <w:rsid w:val="00E07099"/>
    <w:rsid w:val="00E13436"/>
    <w:rsid w:val="00E15030"/>
    <w:rsid w:val="00E22EFA"/>
    <w:rsid w:val="00E2767D"/>
    <w:rsid w:val="00E27EA4"/>
    <w:rsid w:val="00E344A7"/>
    <w:rsid w:val="00E345CB"/>
    <w:rsid w:val="00E3573E"/>
    <w:rsid w:val="00E37BD6"/>
    <w:rsid w:val="00E45A53"/>
    <w:rsid w:val="00E51052"/>
    <w:rsid w:val="00E52A20"/>
    <w:rsid w:val="00E549F7"/>
    <w:rsid w:val="00E55256"/>
    <w:rsid w:val="00E55CE1"/>
    <w:rsid w:val="00E55D1E"/>
    <w:rsid w:val="00E56D80"/>
    <w:rsid w:val="00E616FB"/>
    <w:rsid w:val="00E62A8E"/>
    <w:rsid w:val="00E673B3"/>
    <w:rsid w:val="00E67471"/>
    <w:rsid w:val="00E730BA"/>
    <w:rsid w:val="00E75FF9"/>
    <w:rsid w:val="00E76D60"/>
    <w:rsid w:val="00E8113F"/>
    <w:rsid w:val="00E82D5F"/>
    <w:rsid w:val="00E867B3"/>
    <w:rsid w:val="00E86B58"/>
    <w:rsid w:val="00E87FD6"/>
    <w:rsid w:val="00E96256"/>
    <w:rsid w:val="00EA3E46"/>
    <w:rsid w:val="00EA7B56"/>
    <w:rsid w:val="00EB0F40"/>
    <w:rsid w:val="00EB1001"/>
    <w:rsid w:val="00EB4E5F"/>
    <w:rsid w:val="00EB6CFC"/>
    <w:rsid w:val="00EC77A0"/>
    <w:rsid w:val="00EE1F08"/>
    <w:rsid w:val="00EE29DC"/>
    <w:rsid w:val="00EE3198"/>
    <w:rsid w:val="00EE4D51"/>
    <w:rsid w:val="00EE70D6"/>
    <w:rsid w:val="00EF0E7E"/>
    <w:rsid w:val="00EF576D"/>
    <w:rsid w:val="00EF57C9"/>
    <w:rsid w:val="00F00BFF"/>
    <w:rsid w:val="00F017C8"/>
    <w:rsid w:val="00F02242"/>
    <w:rsid w:val="00F02CF5"/>
    <w:rsid w:val="00F03209"/>
    <w:rsid w:val="00F0569A"/>
    <w:rsid w:val="00F06A89"/>
    <w:rsid w:val="00F06CD6"/>
    <w:rsid w:val="00F11603"/>
    <w:rsid w:val="00F119B3"/>
    <w:rsid w:val="00F15BDB"/>
    <w:rsid w:val="00F22551"/>
    <w:rsid w:val="00F23BB4"/>
    <w:rsid w:val="00F23F71"/>
    <w:rsid w:val="00F2498B"/>
    <w:rsid w:val="00F27DE5"/>
    <w:rsid w:val="00F31514"/>
    <w:rsid w:val="00F35A58"/>
    <w:rsid w:val="00F376F2"/>
    <w:rsid w:val="00F37BD9"/>
    <w:rsid w:val="00F37C75"/>
    <w:rsid w:val="00F41CAD"/>
    <w:rsid w:val="00F437EA"/>
    <w:rsid w:val="00F52357"/>
    <w:rsid w:val="00F55239"/>
    <w:rsid w:val="00F5677C"/>
    <w:rsid w:val="00F56AEB"/>
    <w:rsid w:val="00F56B33"/>
    <w:rsid w:val="00F572B4"/>
    <w:rsid w:val="00F612F9"/>
    <w:rsid w:val="00F6131B"/>
    <w:rsid w:val="00F62D40"/>
    <w:rsid w:val="00F65F71"/>
    <w:rsid w:val="00F71128"/>
    <w:rsid w:val="00F7376B"/>
    <w:rsid w:val="00F75A55"/>
    <w:rsid w:val="00F769C9"/>
    <w:rsid w:val="00F77E5C"/>
    <w:rsid w:val="00F77FD7"/>
    <w:rsid w:val="00F83896"/>
    <w:rsid w:val="00F838A4"/>
    <w:rsid w:val="00F862F2"/>
    <w:rsid w:val="00F90279"/>
    <w:rsid w:val="00F910F0"/>
    <w:rsid w:val="00F91AD1"/>
    <w:rsid w:val="00F961F5"/>
    <w:rsid w:val="00FA19E0"/>
    <w:rsid w:val="00FA25E1"/>
    <w:rsid w:val="00FA3FF7"/>
    <w:rsid w:val="00FA440F"/>
    <w:rsid w:val="00FB2DC5"/>
    <w:rsid w:val="00FB7488"/>
    <w:rsid w:val="00FC144A"/>
    <w:rsid w:val="00FC1D89"/>
    <w:rsid w:val="00FC3621"/>
    <w:rsid w:val="00FC4A3C"/>
    <w:rsid w:val="00FC6BB4"/>
    <w:rsid w:val="00FD7D72"/>
    <w:rsid w:val="00FE008A"/>
    <w:rsid w:val="00FE092E"/>
    <w:rsid w:val="00FE259C"/>
    <w:rsid w:val="00FE796C"/>
    <w:rsid w:val="00FF1C80"/>
    <w:rsid w:val="00FF2385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1">
    <w:name w:val="B1"/>
    <w:basedOn w:val="af1"/>
    <w:link w:val="B1Char1"/>
    <w:rsid w:val="00B8022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B8022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B8022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1">
    <w:name w:val="List"/>
    <w:basedOn w:val="a"/>
    <w:uiPriority w:val="99"/>
    <w:semiHidden/>
    <w:unhideWhenUsed/>
    <w:rsid w:val="00B80225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B80225"/>
    <w:pPr>
      <w:ind w:leftChars="200" w:left="100" w:hangingChars="200" w:hanging="200"/>
      <w:contextualSpacing/>
    </w:pPr>
  </w:style>
  <w:style w:type="paragraph" w:styleId="af2">
    <w:name w:val="Normal (Web)"/>
    <w:basedOn w:val="a"/>
    <w:uiPriority w:val="99"/>
    <w:unhideWhenUsed/>
    <w:rsid w:val="003C53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12DD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12DD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Doc-text2">
    <w:name w:val="Doc-text2"/>
    <w:basedOn w:val="a"/>
    <w:link w:val="Doc-text2Char"/>
    <w:qFormat/>
    <w:rsid w:val="00657AB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57ABB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3791</TotalTime>
  <Pages>3</Pages>
  <Words>1571</Words>
  <Characters>8960</Characters>
  <Application>Microsoft Office Word</Application>
  <DocSecurity>0</DocSecurity>
  <Lines>74</Lines>
  <Paragraphs>21</Paragraphs>
  <ScaleCrop>false</ScaleCrop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695</cp:revision>
  <dcterms:created xsi:type="dcterms:W3CDTF">2021-01-15T02:11:00Z</dcterms:created>
  <dcterms:modified xsi:type="dcterms:W3CDTF">2023-05-12T01:47:00Z</dcterms:modified>
</cp:coreProperties>
</file>